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D8C6966" w:rsidR="007E529F" w:rsidRPr="007E529F" w:rsidRDefault="000A7FED" w:rsidP="3F4C26FB">
      <w:pPr>
        <w:jc w:val="both"/>
        <w:rPr>
          <w:rFonts w:ascii="Times New Roman" w:hAnsi="Times New Roman" w:cs="Times New Roman"/>
          <w:i/>
          <w:iCs/>
          <w:sz w:val="26"/>
          <w:szCs w:val="26"/>
        </w:rPr>
      </w:pPr>
      <w:r>
        <w:rPr>
          <w:rFonts w:ascii="Times New Roman" w:hAnsi="Times New Roman" w:cs="Times New Roman"/>
          <w:i/>
          <w:iCs/>
          <w:sz w:val="26"/>
          <w:szCs w:val="26"/>
        </w:rPr>
        <w:t>D</w:t>
      </w:r>
      <w:r w:rsidR="007E529F" w:rsidRPr="3F4C26FB">
        <w:rPr>
          <w:rFonts w:ascii="Times New Roman" w:hAnsi="Times New Roman" w:cs="Times New Roman"/>
          <w:i/>
          <w:iCs/>
          <w:sz w:val="26"/>
          <w:szCs w:val="26"/>
        </w:rPr>
        <w:t>eterminazione dei criteri per la ripartizione dei fondi di cui agli articoli 9 e 15 della Legge 15 dicembre 1999, n. 482, in materia di tutela delle minoranze linguistiche storiche, per il triennio 2023-2025.</w:t>
      </w:r>
    </w:p>
    <w:p w14:paraId="0A37501D" w14:textId="77777777" w:rsidR="007E529F" w:rsidRPr="007E529F" w:rsidRDefault="007E529F" w:rsidP="007E529F">
      <w:pPr>
        <w:jc w:val="center"/>
        <w:rPr>
          <w:rFonts w:ascii="Times New Roman" w:hAnsi="Times New Roman" w:cs="Times New Roman"/>
          <w:sz w:val="26"/>
          <w:szCs w:val="26"/>
        </w:rPr>
      </w:pPr>
    </w:p>
    <w:p w14:paraId="2C1588A6"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VISTO</w:t>
      </w:r>
      <w:r w:rsidRPr="007E529F">
        <w:rPr>
          <w:rFonts w:ascii="Times New Roman" w:hAnsi="Times New Roman" w:cs="Times New Roman"/>
          <w:sz w:val="26"/>
          <w:szCs w:val="26"/>
        </w:rPr>
        <w:tab/>
        <w:t>l’articolo 6 della Costituzione;</w:t>
      </w:r>
    </w:p>
    <w:p w14:paraId="269BB77D" w14:textId="77777777" w:rsidR="007E529F" w:rsidRPr="007E529F" w:rsidRDefault="007E529F" w:rsidP="007E529F">
      <w:pPr>
        <w:ind w:left="1410" w:hanging="1410"/>
        <w:jc w:val="both"/>
        <w:rPr>
          <w:rFonts w:ascii="Times New Roman" w:hAnsi="Times New Roman" w:cs="Times New Roman"/>
          <w:sz w:val="26"/>
          <w:szCs w:val="26"/>
        </w:rPr>
      </w:pPr>
      <w:r w:rsidRPr="007E529F">
        <w:rPr>
          <w:rFonts w:ascii="Times New Roman" w:hAnsi="Times New Roman" w:cs="Times New Roman"/>
          <w:sz w:val="26"/>
          <w:szCs w:val="26"/>
        </w:rPr>
        <w:t xml:space="preserve">VISTA </w:t>
      </w:r>
      <w:r w:rsidRPr="007E529F">
        <w:rPr>
          <w:rFonts w:ascii="Times New Roman" w:hAnsi="Times New Roman" w:cs="Times New Roman"/>
          <w:sz w:val="26"/>
          <w:szCs w:val="26"/>
        </w:rPr>
        <w:tab/>
        <w:t>la legge 15 dicembre 1999, n. 482, recante “Norme in materia di tutela delle minoranze linguistiche storiche” e, in particolare, gli articoli 9, comma 2, e 15, comma 1;</w:t>
      </w:r>
    </w:p>
    <w:p w14:paraId="3484B870" w14:textId="77777777" w:rsidR="007E529F" w:rsidRPr="007E529F" w:rsidRDefault="007E529F" w:rsidP="007E529F">
      <w:pPr>
        <w:ind w:left="1410" w:hanging="1410"/>
        <w:jc w:val="both"/>
        <w:rPr>
          <w:rFonts w:ascii="Times New Roman" w:hAnsi="Times New Roman" w:cs="Times New Roman"/>
          <w:sz w:val="26"/>
          <w:szCs w:val="26"/>
        </w:rPr>
      </w:pPr>
      <w:r w:rsidRPr="007E529F">
        <w:rPr>
          <w:rFonts w:ascii="Times New Roman" w:hAnsi="Times New Roman" w:cs="Times New Roman"/>
          <w:sz w:val="26"/>
          <w:szCs w:val="26"/>
        </w:rPr>
        <w:t xml:space="preserve">VISTO </w:t>
      </w:r>
      <w:r w:rsidRPr="007E529F">
        <w:rPr>
          <w:rFonts w:ascii="Times New Roman" w:hAnsi="Times New Roman" w:cs="Times New Roman"/>
          <w:sz w:val="26"/>
          <w:szCs w:val="26"/>
        </w:rPr>
        <w:tab/>
        <w:t>il “Regolamento di attuazione della legge 15 dicembre 1999, n. 482, recante norme di tutela delle minoranze linguistiche storiche” di cui al decreto del Presidente della Repubblica 2 maggio 2001, n. 345;</w:t>
      </w:r>
    </w:p>
    <w:p w14:paraId="4746BC45" w14:textId="77777777" w:rsidR="007E529F" w:rsidRPr="007E529F" w:rsidRDefault="007E529F" w:rsidP="007E529F">
      <w:pPr>
        <w:ind w:left="1410" w:hanging="1410"/>
        <w:jc w:val="both"/>
        <w:rPr>
          <w:rFonts w:ascii="Times New Roman" w:hAnsi="Times New Roman" w:cs="Times New Roman"/>
          <w:sz w:val="26"/>
          <w:szCs w:val="26"/>
        </w:rPr>
      </w:pPr>
      <w:r>
        <w:rPr>
          <w:rFonts w:ascii="Times New Roman" w:hAnsi="Times New Roman" w:cs="Times New Roman"/>
          <w:sz w:val="26"/>
          <w:szCs w:val="26"/>
        </w:rPr>
        <w:t>VISTO</w:t>
      </w:r>
      <w:r w:rsidRPr="007E529F">
        <w:rPr>
          <w:rFonts w:ascii="Times New Roman" w:hAnsi="Times New Roman" w:cs="Times New Roman"/>
          <w:sz w:val="26"/>
          <w:szCs w:val="26"/>
        </w:rPr>
        <w:tab/>
        <w:t>in particolare, l’articolo 8, comma 1, del predetto regolamento, e successive modificazioni, il quale dispone la definizione, a cadenza triennale, con decreto del Presidente del Consiglio dei ministri, dei criteri per l’attribuzione e la ripartizione degli stanziamenti previsti dai citati articoli 9 e 15 della suddetta legge;</w:t>
      </w:r>
    </w:p>
    <w:p w14:paraId="098323A2" w14:textId="77777777" w:rsidR="007E529F" w:rsidRPr="007E529F" w:rsidRDefault="007E529F" w:rsidP="007E529F">
      <w:pPr>
        <w:ind w:left="1410" w:hanging="1410"/>
        <w:jc w:val="both"/>
        <w:rPr>
          <w:rFonts w:ascii="Times New Roman" w:hAnsi="Times New Roman" w:cs="Times New Roman"/>
          <w:sz w:val="26"/>
          <w:szCs w:val="26"/>
        </w:rPr>
      </w:pPr>
      <w:r w:rsidRPr="007E529F">
        <w:rPr>
          <w:rFonts w:ascii="Times New Roman" w:hAnsi="Times New Roman" w:cs="Times New Roman"/>
          <w:sz w:val="26"/>
          <w:szCs w:val="26"/>
        </w:rPr>
        <w:t>VISTA</w:t>
      </w:r>
      <w:r w:rsidRPr="007E529F">
        <w:rPr>
          <w:rFonts w:ascii="Times New Roman" w:hAnsi="Times New Roman" w:cs="Times New Roman"/>
          <w:sz w:val="26"/>
          <w:szCs w:val="26"/>
        </w:rPr>
        <w:tab/>
        <w:t>la legge 23 febbraio 2001, n. 38, recante “Norme a tutela della minoranza linguistica slovena della Regione Friuli-Venezia Giulia”;</w:t>
      </w:r>
    </w:p>
    <w:p w14:paraId="1996C9CF" w14:textId="77777777" w:rsidR="007E529F" w:rsidRPr="007E529F" w:rsidRDefault="007E529F" w:rsidP="007E529F">
      <w:pPr>
        <w:ind w:left="1410" w:hanging="1410"/>
        <w:jc w:val="both"/>
        <w:rPr>
          <w:rFonts w:ascii="Times New Roman" w:hAnsi="Times New Roman" w:cs="Times New Roman"/>
          <w:sz w:val="26"/>
          <w:szCs w:val="26"/>
        </w:rPr>
      </w:pPr>
      <w:r w:rsidRPr="007E529F">
        <w:rPr>
          <w:rFonts w:ascii="Times New Roman" w:hAnsi="Times New Roman" w:cs="Times New Roman"/>
          <w:sz w:val="26"/>
          <w:szCs w:val="26"/>
        </w:rPr>
        <w:t>VISTO</w:t>
      </w:r>
      <w:r w:rsidRPr="007E529F">
        <w:rPr>
          <w:rFonts w:ascii="Times New Roman" w:hAnsi="Times New Roman" w:cs="Times New Roman"/>
          <w:sz w:val="26"/>
          <w:szCs w:val="26"/>
        </w:rPr>
        <w:tab/>
        <w:t>l’articolo 2, comma 109, della legge 23 dicembre 2009, n. 191, che ha abrogato, a decorrere dal 1° gennaio 2010, gli articoli 5 e 6 della legge 30 novembre 1989, n. 386, recante “Norme per il coordinamento della finanza della Regione Trentino-Alto Adige e delle Province Autonome di Trento e Bolzano con la riforma tributaria”, con ciò disponendo che dette Province autonome non partecipano alla ripartizione di finanziamenti statali a titolo di concorso alla finanza pubblica;</w:t>
      </w:r>
    </w:p>
    <w:p w14:paraId="43A3ACB9" w14:textId="77777777" w:rsidR="007E529F" w:rsidRPr="007E529F" w:rsidRDefault="007E529F" w:rsidP="007E529F">
      <w:pPr>
        <w:ind w:left="1410" w:hanging="1410"/>
        <w:jc w:val="both"/>
        <w:rPr>
          <w:rFonts w:ascii="Times New Roman" w:hAnsi="Times New Roman" w:cs="Times New Roman"/>
          <w:sz w:val="26"/>
          <w:szCs w:val="26"/>
        </w:rPr>
      </w:pPr>
      <w:r w:rsidRPr="007E529F">
        <w:rPr>
          <w:rFonts w:ascii="Times New Roman" w:hAnsi="Times New Roman" w:cs="Times New Roman"/>
          <w:sz w:val="26"/>
          <w:szCs w:val="26"/>
        </w:rPr>
        <w:t>SENTITO</w:t>
      </w:r>
      <w:r w:rsidRPr="007E529F">
        <w:rPr>
          <w:rFonts w:ascii="Times New Roman" w:hAnsi="Times New Roman" w:cs="Times New Roman"/>
          <w:sz w:val="26"/>
          <w:szCs w:val="26"/>
        </w:rPr>
        <w:tab/>
        <w:t>il Comitato tecnico consultivo per l’applicazione della legislazione in materia di minoranze linguistiche storiche di cui all’articolo 12 del citato decreto del Presidente della Repubblica n. 345 del 2001;</w:t>
      </w:r>
    </w:p>
    <w:p w14:paraId="21B579C5" w14:textId="7CB2C1D3" w:rsidR="007E529F" w:rsidRPr="007E529F" w:rsidRDefault="007E529F" w:rsidP="007E529F">
      <w:pPr>
        <w:ind w:left="1418" w:hanging="1560"/>
        <w:jc w:val="both"/>
        <w:rPr>
          <w:rFonts w:ascii="Times New Roman" w:hAnsi="Times New Roman" w:cs="Times New Roman"/>
          <w:sz w:val="26"/>
          <w:szCs w:val="26"/>
        </w:rPr>
      </w:pPr>
      <w:r w:rsidRPr="3F4C26FB">
        <w:rPr>
          <w:rFonts w:ascii="Times New Roman" w:hAnsi="Times New Roman" w:cs="Times New Roman"/>
          <w:sz w:val="26"/>
          <w:szCs w:val="26"/>
        </w:rPr>
        <w:t>ACQUISITO il parere della Conferenza unificata di cui all’articolo 8</w:t>
      </w:r>
      <w:r w:rsidR="0BFA202F" w:rsidRPr="3F4C26FB">
        <w:rPr>
          <w:rFonts w:ascii="Times New Roman" w:hAnsi="Times New Roman" w:cs="Times New Roman"/>
          <w:sz w:val="26"/>
          <w:szCs w:val="26"/>
        </w:rPr>
        <w:t>,</w:t>
      </w:r>
      <w:r w:rsidRPr="3F4C26FB">
        <w:rPr>
          <w:rFonts w:ascii="Times New Roman" w:hAnsi="Times New Roman" w:cs="Times New Roman"/>
          <w:sz w:val="26"/>
          <w:szCs w:val="26"/>
        </w:rPr>
        <w:t xml:space="preserve"> del decreto legislativo 28 agosto 1997, n. 281, espresso nella seduta del </w:t>
      </w:r>
      <w:r w:rsidR="000A7FED">
        <w:rPr>
          <w:rFonts w:ascii="Times New Roman" w:hAnsi="Times New Roman" w:cs="Times New Roman"/>
          <w:sz w:val="26"/>
          <w:szCs w:val="26"/>
        </w:rPr>
        <w:t>22 marzo</w:t>
      </w:r>
      <w:r w:rsidRPr="3F4C26FB">
        <w:rPr>
          <w:rFonts w:ascii="Times New Roman" w:hAnsi="Times New Roman" w:cs="Times New Roman"/>
          <w:sz w:val="26"/>
          <w:szCs w:val="26"/>
        </w:rPr>
        <w:t xml:space="preserve"> 2023, repertorio atti n. </w:t>
      </w:r>
      <w:r w:rsidR="000A7FED">
        <w:rPr>
          <w:rFonts w:ascii="Times New Roman" w:hAnsi="Times New Roman" w:cs="Times New Roman"/>
          <w:sz w:val="26"/>
          <w:szCs w:val="26"/>
        </w:rPr>
        <w:t>37</w:t>
      </w:r>
      <w:r w:rsidRPr="3F4C26FB">
        <w:rPr>
          <w:rFonts w:ascii="Times New Roman" w:hAnsi="Times New Roman" w:cs="Times New Roman"/>
          <w:sz w:val="26"/>
          <w:szCs w:val="26"/>
        </w:rPr>
        <w:t>;</w:t>
      </w:r>
    </w:p>
    <w:p w14:paraId="025E7411" w14:textId="77777777" w:rsidR="007E529F" w:rsidRPr="007E529F" w:rsidRDefault="007E529F" w:rsidP="007E529F">
      <w:pPr>
        <w:ind w:left="1410" w:hanging="1410"/>
        <w:jc w:val="both"/>
        <w:rPr>
          <w:rFonts w:ascii="Times New Roman" w:hAnsi="Times New Roman" w:cs="Times New Roman"/>
          <w:sz w:val="26"/>
          <w:szCs w:val="26"/>
        </w:rPr>
      </w:pPr>
      <w:r w:rsidRPr="007E529F">
        <w:rPr>
          <w:rFonts w:ascii="Times New Roman" w:hAnsi="Times New Roman" w:cs="Times New Roman"/>
          <w:sz w:val="26"/>
          <w:szCs w:val="26"/>
        </w:rPr>
        <w:lastRenderedPageBreak/>
        <w:t>VISTO</w:t>
      </w:r>
      <w:r w:rsidRPr="007E529F">
        <w:rPr>
          <w:rFonts w:ascii="Times New Roman" w:hAnsi="Times New Roman" w:cs="Times New Roman"/>
          <w:sz w:val="26"/>
          <w:szCs w:val="26"/>
        </w:rPr>
        <w:tab/>
        <w:t>il decreto del Presidente del Consiglio dei ministri 12 novembre 2022, recante delega di funzioni del Presidente del Consiglio dei ministri al Ministro per gli affari regionali e le autonomie e, in particolare, l’articolo 1, comma 1, lettera m), concernente l’iniziativa governativa e legislativa in materia, tra l’altro, di minoranze linguistiche;</w:t>
      </w:r>
    </w:p>
    <w:p w14:paraId="5DAB6C7B" w14:textId="50204535" w:rsidR="007E529F" w:rsidRPr="007E529F" w:rsidRDefault="007E529F" w:rsidP="3F4C26FB">
      <w:pPr>
        <w:jc w:val="center"/>
        <w:rPr>
          <w:rFonts w:ascii="Times New Roman" w:hAnsi="Times New Roman" w:cs="Times New Roman"/>
          <w:sz w:val="26"/>
          <w:szCs w:val="26"/>
        </w:rPr>
      </w:pPr>
      <w:r w:rsidRPr="3F4C26FB">
        <w:rPr>
          <w:rFonts w:ascii="Times New Roman" w:hAnsi="Times New Roman" w:cs="Times New Roman"/>
          <w:sz w:val="26"/>
          <w:szCs w:val="26"/>
        </w:rPr>
        <w:t>DECRETA</w:t>
      </w:r>
    </w:p>
    <w:p w14:paraId="60F79D19"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Art. 1</w:t>
      </w:r>
    </w:p>
    <w:p w14:paraId="380A862E" w14:textId="77777777" w:rsid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(Ambito territoriale dei progetti)</w:t>
      </w:r>
    </w:p>
    <w:p w14:paraId="02EB378F" w14:textId="77777777" w:rsidR="007E529F" w:rsidRPr="007E529F" w:rsidRDefault="007E529F" w:rsidP="007E529F">
      <w:pPr>
        <w:spacing w:after="0" w:line="240" w:lineRule="auto"/>
        <w:jc w:val="center"/>
        <w:rPr>
          <w:rFonts w:ascii="Times New Roman" w:hAnsi="Times New Roman" w:cs="Times New Roman"/>
          <w:sz w:val="26"/>
          <w:szCs w:val="26"/>
        </w:rPr>
      </w:pPr>
    </w:p>
    <w:p w14:paraId="276099E2"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1. Gli stanziamenti relativi agli esercizi finanziari 2023-2025, previsti dagli articoli 9 e 15 della legge 15 dicembre 1999, n. 482, sono assegnati sulla base di progetti finalizzati alla valorizzazione delle lingue e delle culture tutelate dalla citata legge, elaborati e presentati dalle pubbliche amministrazioni individuate dall’articolo 8, commi 2, 3 e 5, del decreto del Presidente della Repubblica 2 maggio 2001, n. 345, e successive modificazioni.</w:t>
      </w:r>
    </w:p>
    <w:p w14:paraId="76976D99" w14:textId="69849282" w:rsidR="007E529F" w:rsidRPr="007E529F" w:rsidRDefault="007E529F" w:rsidP="007E529F">
      <w:pPr>
        <w:jc w:val="both"/>
        <w:rPr>
          <w:rFonts w:ascii="Times New Roman" w:hAnsi="Times New Roman" w:cs="Times New Roman"/>
          <w:sz w:val="26"/>
          <w:szCs w:val="26"/>
        </w:rPr>
      </w:pPr>
      <w:r w:rsidRPr="3F4C26FB">
        <w:rPr>
          <w:rFonts w:ascii="Times New Roman" w:hAnsi="Times New Roman" w:cs="Times New Roman"/>
          <w:sz w:val="26"/>
          <w:szCs w:val="26"/>
        </w:rPr>
        <w:t xml:space="preserve">2. I progetti di cui al comma 1 si riferiscono a minoranze linguistiche ammesse a tutela per le quali </w:t>
      </w:r>
      <w:r w:rsidR="00336176" w:rsidRPr="3F4C26FB">
        <w:rPr>
          <w:rFonts w:ascii="Times New Roman" w:hAnsi="Times New Roman" w:cs="Times New Roman"/>
          <w:sz w:val="26"/>
          <w:szCs w:val="26"/>
        </w:rPr>
        <w:t xml:space="preserve">si sia provveduto alla delimitazione territoriale prevista </w:t>
      </w:r>
      <w:r w:rsidRPr="3F4C26FB">
        <w:rPr>
          <w:rFonts w:ascii="Times New Roman" w:hAnsi="Times New Roman" w:cs="Times New Roman"/>
          <w:sz w:val="26"/>
          <w:szCs w:val="26"/>
        </w:rPr>
        <w:t>dall’articolo 3</w:t>
      </w:r>
      <w:r w:rsidR="12662F22" w:rsidRPr="3F4C26FB">
        <w:rPr>
          <w:rFonts w:ascii="Times New Roman" w:hAnsi="Times New Roman" w:cs="Times New Roman"/>
          <w:sz w:val="26"/>
          <w:szCs w:val="26"/>
        </w:rPr>
        <w:t xml:space="preserve"> </w:t>
      </w:r>
      <w:r w:rsidRPr="3F4C26FB">
        <w:rPr>
          <w:rFonts w:ascii="Times New Roman" w:hAnsi="Times New Roman" w:cs="Times New Roman"/>
          <w:sz w:val="26"/>
          <w:szCs w:val="26"/>
        </w:rPr>
        <w:t>della legge n. 482 del 1999, ovvero tale delimitazione sia stata effettuata da una legge regionale, ai sensi dell’articolo 1, comma 5, del citato decreto del Presidente della Repubblica n. 345 del 2001, nonché, per le regioni a statuto speciale, da una norma di attuazione dello statuto. Per quanto attiene alla minoranza slovena nella Regione Friuli-Venezia Giulia, la delimitazione territoriale è indicata dal decreto del Presidente della Repubblica del 12 settembre 2007 e dalla allegata tabella, ai sensi dell’articolo 4 della legge 23 febbraio 2001, n. 38.</w:t>
      </w:r>
    </w:p>
    <w:p w14:paraId="39C54D21"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3. Alla elaborazione dei progetti di cui al comma 1, possono concorrere anche gli organismi di coordinamento e di proposta riconosciuti, ai sensi dell’articolo 3, comma 3, della legge n. 482 del 1999.</w:t>
      </w:r>
    </w:p>
    <w:p w14:paraId="6A05A809" w14:textId="77777777" w:rsidR="006C4897" w:rsidRPr="007E529F" w:rsidRDefault="006C4897" w:rsidP="007E529F">
      <w:pPr>
        <w:jc w:val="both"/>
        <w:rPr>
          <w:rFonts w:ascii="Times New Roman" w:hAnsi="Times New Roman" w:cs="Times New Roman"/>
          <w:sz w:val="26"/>
          <w:szCs w:val="26"/>
        </w:rPr>
      </w:pPr>
    </w:p>
    <w:p w14:paraId="093C7306"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Art. 2</w:t>
      </w:r>
    </w:p>
    <w:p w14:paraId="7525FE2F" w14:textId="77777777" w:rsid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(Ruolo istituzionale delle regioni)</w:t>
      </w:r>
    </w:p>
    <w:p w14:paraId="5A39BBE3" w14:textId="77777777" w:rsidR="007E529F" w:rsidRPr="007E529F" w:rsidRDefault="007E529F" w:rsidP="007E529F">
      <w:pPr>
        <w:spacing w:after="0" w:line="240" w:lineRule="auto"/>
        <w:jc w:val="center"/>
        <w:rPr>
          <w:rFonts w:ascii="Times New Roman" w:hAnsi="Times New Roman" w:cs="Times New Roman"/>
          <w:sz w:val="26"/>
          <w:szCs w:val="26"/>
        </w:rPr>
      </w:pPr>
    </w:p>
    <w:p w14:paraId="2F4CBC3E" w14:textId="1648DA9F" w:rsidR="007E529F" w:rsidRPr="007E529F" w:rsidRDefault="007E529F" w:rsidP="007E529F">
      <w:pPr>
        <w:jc w:val="both"/>
        <w:rPr>
          <w:rFonts w:ascii="Times New Roman" w:hAnsi="Times New Roman" w:cs="Times New Roman"/>
          <w:sz w:val="26"/>
          <w:szCs w:val="26"/>
        </w:rPr>
      </w:pPr>
      <w:r w:rsidRPr="3F4C26FB">
        <w:rPr>
          <w:rFonts w:ascii="Times New Roman" w:hAnsi="Times New Roman" w:cs="Times New Roman"/>
          <w:sz w:val="26"/>
          <w:szCs w:val="26"/>
        </w:rPr>
        <w:t>1. In attuazione dell’articolo 8 del decreto del Presidente della Repubblica n. 345 del 2001, le regioni sul cui territorio insistono minoranze linguistiche riconosciute e tutelate a norma di legge</w:t>
      </w:r>
      <w:r w:rsidR="576A7A59" w:rsidRPr="3F4C26FB">
        <w:rPr>
          <w:rFonts w:ascii="Times New Roman" w:hAnsi="Times New Roman" w:cs="Times New Roman"/>
          <w:sz w:val="26"/>
          <w:szCs w:val="26"/>
        </w:rPr>
        <w:t>,</w:t>
      </w:r>
      <w:r w:rsidRPr="3F4C26FB">
        <w:rPr>
          <w:rFonts w:ascii="Times New Roman" w:hAnsi="Times New Roman" w:cs="Times New Roman"/>
          <w:sz w:val="26"/>
          <w:szCs w:val="26"/>
        </w:rPr>
        <w:t xml:space="preserve"> si pongono quali soggetti istituzionali di intermediazione e di coordinamento, nell’ambito delle procedure di finanziamento dei progetti presentati dagli enti interessati.</w:t>
      </w:r>
    </w:p>
    <w:p w14:paraId="33A17A79"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 xml:space="preserve">2. Le regioni svolgono le attività di cui al comma 1: </w:t>
      </w:r>
    </w:p>
    <w:p w14:paraId="0B802B9F"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lastRenderedPageBreak/>
        <w:t xml:space="preserve">a) nella fase della ricezione delle richieste di finanziamento presentate dagli enti locali; </w:t>
      </w:r>
    </w:p>
    <w:p w14:paraId="12523561"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b) nella fase di successiva trasmissione al Dipartimento per gli affari regionali e le autonomie, entro il termine previsto dalla normativa vigente, a seguito di opportune verifiche istruttorie riguardanti le condizioni di ammissibilità, avuto riguardo alle indicazioni contenute nel presente atto e alle disposizioni di cui all’articolo 15, comma 3, della legge n. 482 del 1999;</w:t>
      </w:r>
    </w:p>
    <w:p w14:paraId="4D4FBA7C" w14:textId="77777777" w:rsidR="007E529F" w:rsidRPr="007E529F" w:rsidRDefault="007E529F" w:rsidP="007E529F">
      <w:pPr>
        <w:jc w:val="both"/>
        <w:rPr>
          <w:rFonts w:ascii="Times New Roman" w:hAnsi="Times New Roman" w:cs="Times New Roman"/>
          <w:sz w:val="26"/>
          <w:szCs w:val="26"/>
        </w:rPr>
      </w:pPr>
      <w:r w:rsidRPr="3F4C26FB">
        <w:rPr>
          <w:rFonts w:ascii="Times New Roman" w:hAnsi="Times New Roman" w:cs="Times New Roman"/>
          <w:sz w:val="26"/>
          <w:szCs w:val="26"/>
        </w:rPr>
        <w:t xml:space="preserve">c) ai fini del monitoraggio sui progetti finanziati, </w:t>
      </w:r>
      <w:r w:rsidRPr="3F4C26FB">
        <w:rPr>
          <w:rFonts w:ascii="Times New Roman" w:hAnsi="Times New Roman" w:cs="Times New Roman"/>
          <w:i/>
          <w:iCs/>
          <w:sz w:val="26"/>
          <w:szCs w:val="26"/>
        </w:rPr>
        <w:t>in itinere</w:t>
      </w:r>
      <w:r w:rsidRPr="3F4C26FB">
        <w:rPr>
          <w:rFonts w:ascii="Times New Roman" w:hAnsi="Times New Roman" w:cs="Times New Roman"/>
          <w:sz w:val="26"/>
          <w:szCs w:val="26"/>
        </w:rPr>
        <w:t xml:space="preserve"> ed </w:t>
      </w:r>
      <w:r w:rsidRPr="3F4C26FB">
        <w:rPr>
          <w:rFonts w:ascii="Times New Roman" w:hAnsi="Times New Roman" w:cs="Times New Roman"/>
          <w:i/>
          <w:iCs/>
          <w:sz w:val="26"/>
          <w:szCs w:val="26"/>
        </w:rPr>
        <w:t>ex post</w:t>
      </w:r>
      <w:r w:rsidRPr="3F4C26FB">
        <w:rPr>
          <w:rFonts w:ascii="Times New Roman" w:hAnsi="Times New Roman" w:cs="Times New Roman"/>
          <w:sz w:val="26"/>
          <w:szCs w:val="26"/>
        </w:rPr>
        <w:t>, allo scopo di verificarne l’attuazione e la corrispondenza rispetto al programma iniziale, evi</w:t>
      </w:r>
      <w:r w:rsidR="00B62945" w:rsidRPr="3F4C26FB">
        <w:rPr>
          <w:rFonts w:ascii="Times New Roman" w:hAnsi="Times New Roman" w:cs="Times New Roman"/>
          <w:sz w:val="26"/>
          <w:szCs w:val="26"/>
        </w:rPr>
        <w:t>denziando eventuali scostamenti.</w:t>
      </w:r>
    </w:p>
    <w:p w14:paraId="685A2056" w14:textId="77777777" w:rsid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3. Le regioni provvedono in via esclusiva alla custodia e alla verifica della rendicontazione resa a conclusione delle attività da parte dei soggetti</w:t>
      </w:r>
      <w:r w:rsidR="00B62945">
        <w:rPr>
          <w:rFonts w:ascii="Times New Roman" w:hAnsi="Times New Roman" w:cs="Times New Roman"/>
          <w:sz w:val="26"/>
          <w:szCs w:val="26"/>
        </w:rPr>
        <w:t xml:space="preserve"> beneficiari</w:t>
      </w:r>
      <w:r w:rsidRPr="007E529F">
        <w:rPr>
          <w:rFonts w:ascii="Times New Roman" w:hAnsi="Times New Roman" w:cs="Times New Roman"/>
          <w:sz w:val="26"/>
          <w:szCs w:val="26"/>
        </w:rPr>
        <w:t>. Il Dipartimento per gli affari regionali e le autonomie può chiedere alle regioni copia della documentazione necessaria alle eventuali verifiche di competenza.</w:t>
      </w:r>
    </w:p>
    <w:p w14:paraId="41C8F396" w14:textId="77777777" w:rsidR="007E529F" w:rsidRPr="007E529F" w:rsidRDefault="007E529F" w:rsidP="007E529F">
      <w:pPr>
        <w:jc w:val="both"/>
        <w:rPr>
          <w:rFonts w:ascii="Times New Roman" w:hAnsi="Times New Roman" w:cs="Times New Roman"/>
          <w:sz w:val="26"/>
          <w:szCs w:val="26"/>
        </w:rPr>
      </w:pPr>
    </w:p>
    <w:p w14:paraId="0C212B59"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Art. 3</w:t>
      </w:r>
    </w:p>
    <w:p w14:paraId="01E54E06" w14:textId="77777777" w:rsid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(Caratteristiche dei progetti)</w:t>
      </w:r>
    </w:p>
    <w:p w14:paraId="72A3D3EC" w14:textId="77777777" w:rsidR="007E529F" w:rsidRPr="007E529F" w:rsidRDefault="007E529F" w:rsidP="007E529F">
      <w:pPr>
        <w:spacing w:after="0" w:line="240" w:lineRule="auto"/>
        <w:jc w:val="center"/>
        <w:rPr>
          <w:rFonts w:ascii="Times New Roman" w:hAnsi="Times New Roman" w:cs="Times New Roman"/>
          <w:sz w:val="26"/>
          <w:szCs w:val="26"/>
        </w:rPr>
      </w:pPr>
    </w:p>
    <w:p w14:paraId="453940D3"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1. I progetti di cui all’articolo 1 riguardano interventi volti alla:</w:t>
      </w:r>
    </w:p>
    <w:p w14:paraId="5F936744" w14:textId="457BD0B9" w:rsidR="007E529F" w:rsidRPr="007E529F" w:rsidRDefault="007E529F" w:rsidP="007E529F">
      <w:pPr>
        <w:jc w:val="both"/>
        <w:rPr>
          <w:rFonts w:ascii="Times New Roman" w:hAnsi="Times New Roman" w:cs="Times New Roman"/>
          <w:sz w:val="26"/>
          <w:szCs w:val="26"/>
        </w:rPr>
      </w:pPr>
      <w:r w:rsidRPr="3F4C26FB">
        <w:rPr>
          <w:rFonts w:ascii="Times New Roman" w:hAnsi="Times New Roman" w:cs="Times New Roman"/>
          <w:sz w:val="26"/>
          <w:szCs w:val="26"/>
        </w:rPr>
        <w:t xml:space="preserve">a) realizzazione da parte delle pubbliche amministrazioni, in caso di assenza o insufficienza di personale linguistico idoneo facente parte dell’organico di dette amministrazioni, di sportelli linguistici destinati ai rapporti con il pubblico che intende esprimersi in lingua minoritaria, attraverso l’utilizzazione di personale in possesso di comprovate competenze specifiche nell’uso delle lingue ammesse a tutela, anche mediante assunzione con contratto a tempo determinato di durata massima annuale. Qualora l’ente sia soggetto ai limiti assunzionali posti dalla normativa vigente o ad altri vincoli comunque previsti a fini di coordinamento della finanza pubblica, tali da impedire le predette assunzioni, le pubbliche amministrazioni, accertata l’impossibilità di partecipare ad aggregazioni con altri enti locali non soggetti a vincoli comunque previsti a fini di coordinamento della finanza pubblica, possono anche ricorrere alle convenzioni o ai consorzi di cui all’articolo 6, comma 3, del decreto del Presidente della Repubblica n. 345 del 2001, nonché, ricorrendone i presupposti con le previste modalità, agli accordi di cui all’articolo 15 della legge 7 agosto 1990, n. 241. L’individuazione di associazioni e di enti privati senza scopo di lucro in possesso dei requisiti previsti dal citato d.P.R. n. 345 del 2001 avviene nel rispetto dei regolamenti di contabilità dei singoli enti e delle norme generali di riferimento, con ricorso a modalità di evidenza pubblica, laddove previsto, in relazione al valore del servizio richiesto. La competenza del </w:t>
      </w:r>
      <w:r w:rsidRPr="3F4C26FB">
        <w:rPr>
          <w:rFonts w:ascii="Times New Roman" w:hAnsi="Times New Roman" w:cs="Times New Roman"/>
          <w:sz w:val="26"/>
          <w:szCs w:val="26"/>
        </w:rPr>
        <w:lastRenderedPageBreak/>
        <w:t xml:space="preserve">personale esperto nell’uso della lingua deve </w:t>
      </w:r>
      <w:r w:rsidR="00B62945" w:rsidRPr="3F4C26FB">
        <w:rPr>
          <w:rFonts w:ascii="Times New Roman" w:hAnsi="Times New Roman" w:cs="Times New Roman"/>
          <w:sz w:val="26"/>
          <w:szCs w:val="26"/>
        </w:rPr>
        <w:t>essere in ogni caso certificata</w:t>
      </w:r>
      <w:r w:rsidRPr="3F4C26FB">
        <w:rPr>
          <w:rFonts w:ascii="Times New Roman" w:hAnsi="Times New Roman" w:cs="Times New Roman"/>
          <w:sz w:val="26"/>
          <w:szCs w:val="26"/>
        </w:rPr>
        <w:t xml:space="preserve"> prima dell’espletamento del relativo servizio. Lo sportello linguistico è organizzato in modo da garantire l’informatizzazione dei servizi, la fruibilità dei dati e la conformità alle disposizioni previste dal Codice dell’amministrazione digitale;</w:t>
      </w:r>
    </w:p>
    <w:p w14:paraId="71763AEA"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b) realizzazione di corsi di formazione che prevedano in via prioritaria interventi inclusi in progetti espressi da livelli di governo superiori al comune o da aggregazioni di enti locali, anche mediante modalità di didattica a distanza, in eventuale collaborazione con strutture culturali, formative ed universitarie, volti all’acquisizione della conoscenza e dell’uso orale e scritto della lingua ammessa a tutela, da destinarsi al personale in servizio presso le pubbliche amministrazioni</w:t>
      </w:r>
      <w:r w:rsidR="00336176">
        <w:rPr>
          <w:rFonts w:ascii="Times New Roman" w:hAnsi="Times New Roman" w:cs="Times New Roman"/>
          <w:sz w:val="26"/>
          <w:szCs w:val="26"/>
        </w:rPr>
        <w:t xml:space="preserve"> degli ambiti territoriali interessati</w:t>
      </w:r>
      <w:r w:rsidRPr="007E529F">
        <w:rPr>
          <w:rFonts w:ascii="Times New Roman" w:hAnsi="Times New Roman" w:cs="Times New Roman"/>
          <w:sz w:val="26"/>
          <w:szCs w:val="26"/>
        </w:rPr>
        <w:t>. La realizzazione dei corsi è effettuata nel rispetto dell’ordinamento regionale e locale vigente in materia. La preparazione acquisita dal personale nell’uso della lingua deve essere comprovata per mezzo di un esame finale;</w:t>
      </w:r>
    </w:p>
    <w:p w14:paraId="156A12DD" w14:textId="40CEEA12" w:rsidR="007E529F" w:rsidRPr="007E529F" w:rsidRDefault="007E529F" w:rsidP="007E529F">
      <w:pPr>
        <w:jc w:val="both"/>
        <w:rPr>
          <w:rFonts w:ascii="Times New Roman" w:hAnsi="Times New Roman" w:cs="Times New Roman"/>
          <w:sz w:val="26"/>
          <w:szCs w:val="26"/>
        </w:rPr>
      </w:pPr>
      <w:r w:rsidRPr="3F4C26FB">
        <w:rPr>
          <w:rFonts w:ascii="Times New Roman" w:hAnsi="Times New Roman" w:cs="Times New Roman"/>
          <w:sz w:val="26"/>
          <w:szCs w:val="26"/>
        </w:rPr>
        <w:t>c) utilizzazione di traduttori o interpreti per le incombenze di cui all’articolo 7 della legge n. 482 del 1999, fornendo idonea documentazione di tale utilizzo;</w:t>
      </w:r>
    </w:p>
    <w:p w14:paraId="096AD01A" w14:textId="07AE1349" w:rsidR="007E529F" w:rsidRPr="007E529F" w:rsidRDefault="007E529F" w:rsidP="007E529F">
      <w:pPr>
        <w:jc w:val="both"/>
        <w:rPr>
          <w:rFonts w:ascii="Times New Roman" w:hAnsi="Times New Roman" w:cs="Times New Roman"/>
          <w:sz w:val="26"/>
          <w:szCs w:val="26"/>
        </w:rPr>
      </w:pPr>
      <w:r w:rsidRPr="3F4C26FB">
        <w:rPr>
          <w:rFonts w:ascii="Times New Roman" w:hAnsi="Times New Roman" w:cs="Times New Roman"/>
          <w:sz w:val="26"/>
          <w:szCs w:val="26"/>
        </w:rPr>
        <w:t>d) realizzazione di progetti in materia di toponomastica per l’adozione di toponimi conformi alle tradizioni e agli usi locali adeguati alle disposizioni del nuovo codice della strada, in aggiunta ai toponimi ufficiali</w:t>
      </w:r>
      <w:r w:rsidR="0CF2938A" w:rsidRPr="3F4C26FB">
        <w:rPr>
          <w:rFonts w:ascii="Times New Roman" w:hAnsi="Times New Roman" w:cs="Times New Roman"/>
          <w:sz w:val="26"/>
          <w:szCs w:val="26"/>
        </w:rPr>
        <w:t>,</w:t>
      </w:r>
      <w:r w:rsidRPr="3F4C26FB">
        <w:rPr>
          <w:rFonts w:ascii="Times New Roman" w:hAnsi="Times New Roman" w:cs="Times New Roman"/>
          <w:sz w:val="26"/>
          <w:szCs w:val="26"/>
        </w:rPr>
        <w:t xml:space="preserve"> ai sensi dell’articolo 9 del decreto del Presidente della Repubblica n. 345 del 2001. I progetti sono proposti, in via prioritaria, da livelli di governo superiori al comune o da aggregazioni di enti locali;</w:t>
      </w:r>
    </w:p>
    <w:p w14:paraId="35E4C863"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e) realizzazione di iniziative culturali ai sensi dell’articolo 15 della legge n. 482 del 1999, nei limiti delle risorse finanziarie disponibili, finalizzate alla salvaguardia delle lingue ammesse a tutela mediante la loro promozione e diffusione. I progetti sono proposti, in via prioritaria, da livelli di governo superiori al comune o da aggregazioni di enti locali.</w:t>
      </w:r>
    </w:p>
    <w:p w14:paraId="7A78F9E7"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2. Al fine di favorire il coordinamento delle attività degli sportelli linguistici di cui al comma 1, lettera a), i finanziamenti sono prioritariamente destinati alla realizzazione di sportelli unici per area, i quali:</w:t>
      </w:r>
    </w:p>
    <w:p w14:paraId="5BA9BF4E"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a) offrono servizi in un territorio superiore a quello di un singolo comune;</w:t>
      </w:r>
    </w:p>
    <w:p w14:paraId="666CAF92"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b) sono costituiti, su base volontaria, con atto formale in cui gli enti aggregati attribuiscono ad uno di essi il compito di presentare il progetto;</w:t>
      </w:r>
    </w:p>
    <w:p w14:paraId="6CD85B71"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c) costituiscono, possibilmente, l’aggregazione del numero massimo di comuni che può essere servito da una struttura con sede unica o itinerante, tenuto conto della specifica conformazione del territorio e della dislocazione delle minoranze, nonché delle infrastrutture disponibili.</w:t>
      </w:r>
    </w:p>
    <w:p w14:paraId="478CF4F1" w14:textId="77777777" w:rsid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lastRenderedPageBreak/>
        <w:t xml:space="preserve">3. Le richieste di modifica del progetto, anche parziali, avanzate da enti attuatori e opportunamente motivate, sono ammissibili a condizione che la natura e l’impegno finanziario restino invariati e che le stesse siano coerenti con le finalità del progetto originario. Tali richieste sono comunicate alle regioni competenti per le opportune verifiche istruttorie riguardanti le condizioni di ammissibilità, avuto riguardo alle indicazioni contenute nel presente atto. In caso di esito positivo di dette verifiche, le regioni competenti inviano le richieste di modifica al Dipartimento per gli </w:t>
      </w:r>
      <w:r w:rsidR="00B62945">
        <w:rPr>
          <w:rFonts w:ascii="Times New Roman" w:hAnsi="Times New Roman" w:cs="Times New Roman"/>
          <w:sz w:val="26"/>
          <w:szCs w:val="26"/>
        </w:rPr>
        <w:t>affari regionali e le autonomie</w:t>
      </w:r>
      <w:r w:rsidRPr="007E529F">
        <w:rPr>
          <w:rFonts w:ascii="Times New Roman" w:hAnsi="Times New Roman" w:cs="Times New Roman"/>
          <w:sz w:val="26"/>
          <w:szCs w:val="26"/>
        </w:rPr>
        <w:t xml:space="preserve"> pe</w:t>
      </w:r>
      <w:r w:rsidR="006C4897">
        <w:rPr>
          <w:rFonts w:ascii="Times New Roman" w:hAnsi="Times New Roman" w:cs="Times New Roman"/>
          <w:sz w:val="26"/>
          <w:szCs w:val="26"/>
        </w:rPr>
        <w:t>r le valutazioni di competenza.</w:t>
      </w:r>
    </w:p>
    <w:p w14:paraId="0D0B940D" w14:textId="77777777" w:rsidR="006C4897" w:rsidRPr="007E529F" w:rsidRDefault="006C4897" w:rsidP="007E529F">
      <w:pPr>
        <w:jc w:val="both"/>
        <w:rPr>
          <w:rFonts w:ascii="Times New Roman" w:hAnsi="Times New Roman" w:cs="Times New Roman"/>
          <w:sz w:val="26"/>
          <w:szCs w:val="26"/>
        </w:rPr>
      </w:pPr>
    </w:p>
    <w:p w14:paraId="18E061EA"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Art. 4</w:t>
      </w:r>
    </w:p>
    <w:p w14:paraId="4CC72998" w14:textId="77777777" w:rsid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(Aspetti procedurali)</w:t>
      </w:r>
    </w:p>
    <w:p w14:paraId="0E27B00A" w14:textId="77777777" w:rsidR="007E529F" w:rsidRPr="007E529F" w:rsidRDefault="007E529F" w:rsidP="007E529F">
      <w:pPr>
        <w:spacing w:after="0" w:line="240" w:lineRule="auto"/>
        <w:jc w:val="center"/>
        <w:rPr>
          <w:rFonts w:ascii="Times New Roman" w:hAnsi="Times New Roman" w:cs="Times New Roman"/>
          <w:sz w:val="26"/>
          <w:szCs w:val="26"/>
        </w:rPr>
      </w:pPr>
    </w:p>
    <w:p w14:paraId="506A59DD"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1. Le domande per il finanziamento dei progetti di cui all’articolo 1 del presente decreto possono essere presentate a seguito dell’emissione di apposito avviso pubblico destinato ai soggetti individuati dall’articolo 8, commi 2, 3 e 5, del decreto del Presidente della Repubblica n. 345 del 2001, e successive modificazioni, avente cadenza annuale e di cui è data idonea pubblicità.</w:t>
      </w:r>
    </w:p>
    <w:p w14:paraId="2864507C"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2. I soggetti di cui al comma 1 che presentano più progetti o prevedono più interventi nello stesso progetto, ne indicano l’ordine di priorità.</w:t>
      </w:r>
    </w:p>
    <w:p w14:paraId="0D13A27E"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3. I progetti trasmessi alle regioni dai soggetti beneficiari di cui all’articolo 8, comma 3, del decreto del Presidente della Repubblica n. 345 del 2001, devono essere preventivamente approvati dall’organo competente in conformità al relativo ordinamento. Gli stessi progetti dovranno essere contestualmente inviati per conoscenza al Dipartimento per gli affari regionali e le autonomie. Per gli organi periferici dell’amministrazione statale, l’approvazione compete al titolare dell’Ufficio ed è trasmessa per conoscenza al Ministero competente.</w:t>
      </w:r>
    </w:p>
    <w:p w14:paraId="4586C4B9"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4. I progetti sono informati a criteri di economicità ed efficacia, corredati dall’indicazione analitica delle spese da sostenere e da apposita relazione illustrativa di dettaglio, comprensiva di un’analisi del contesto e della chiara individuazione degli obiettivi che si intendono</w:t>
      </w:r>
      <w:r w:rsidR="00B62945">
        <w:rPr>
          <w:rFonts w:ascii="Times New Roman" w:hAnsi="Times New Roman" w:cs="Times New Roman"/>
          <w:sz w:val="26"/>
          <w:szCs w:val="26"/>
        </w:rPr>
        <w:t xml:space="preserve"> raggiungere</w:t>
      </w:r>
      <w:r w:rsidRPr="007E529F">
        <w:rPr>
          <w:rFonts w:ascii="Times New Roman" w:hAnsi="Times New Roman" w:cs="Times New Roman"/>
          <w:sz w:val="26"/>
          <w:szCs w:val="26"/>
        </w:rPr>
        <w:t>, nonché da un cronoprogramma che indica la data di inizio e la data di fine delle attività. I progetti inerenti alle linee di intervento relative alla formazione, alla toponomastica e alle attività culturali, ferma restando la durata massima di dodici mesi, possono avere durata commisurata alle necessità di realizzazione dei medesimi. I progetti finalizzati all’attivazione di sportelli linguistici hanno durata pari a dodici mesi.</w:t>
      </w:r>
    </w:p>
    <w:p w14:paraId="52CE062E"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lastRenderedPageBreak/>
        <w:t xml:space="preserve">5. I contributi assegnati per gli interventi previsti dalla legge n. 482 del 1999 hanno destinazione vincolata. I progetti finanziati devono, in ogni caso, essere portati a termine entro la fine del secondo anno successivo alla concessione del finanziamento. Eventuali economie di bilancio sono da riversare alla Presidenza del Consiglio dei ministri. </w:t>
      </w:r>
    </w:p>
    <w:p w14:paraId="60061E4C" w14:textId="77777777" w:rsidR="007E529F" w:rsidRDefault="007E529F" w:rsidP="007E529F">
      <w:pPr>
        <w:spacing w:after="0" w:line="240" w:lineRule="auto"/>
        <w:jc w:val="center"/>
        <w:rPr>
          <w:rFonts w:ascii="Times New Roman" w:hAnsi="Times New Roman" w:cs="Times New Roman"/>
          <w:sz w:val="26"/>
          <w:szCs w:val="26"/>
        </w:rPr>
      </w:pPr>
    </w:p>
    <w:p w14:paraId="44EAFD9C" w14:textId="77777777" w:rsidR="007E529F" w:rsidRDefault="007E529F" w:rsidP="007E529F">
      <w:pPr>
        <w:spacing w:after="0" w:line="240" w:lineRule="auto"/>
        <w:jc w:val="center"/>
        <w:rPr>
          <w:rFonts w:ascii="Times New Roman" w:hAnsi="Times New Roman" w:cs="Times New Roman"/>
          <w:sz w:val="26"/>
          <w:szCs w:val="26"/>
        </w:rPr>
      </w:pPr>
    </w:p>
    <w:p w14:paraId="55E28635"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Art. 5</w:t>
      </w:r>
    </w:p>
    <w:p w14:paraId="7B7E1228"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(Ripartizione degli stanziamenti)</w:t>
      </w:r>
    </w:p>
    <w:p w14:paraId="4B94D5A5" w14:textId="77777777" w:rsidR="007E529F" w:rsidRPr="007E529F" w:rsidRDefault="007E529F" w:rsidP="007E529F">
      <w:pPr>
        <w:jc w:val="both"/>
        <w:rPr>
          <w:rFonts w:ascii="Times New Roman" w:hAnsi="Times New Roman" w:cs="Times New Roman"/>
          <w:sz w:val="26"/>
          <w:szCs w:val="26"/>
        </w:rPr>
      </w:pPr>
    </w:p>
    <w:p w14:paraId="2F113EF7"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1. Il decreto di riparto degli stanziamenti di cui agli articoli 9 e 15 della legge n. 482 del 1999 è adottato previo parere della Conferenza unificata di cui al decreto legislativo 28 agosto 19</w:t>
      </w:r>
      <w:r w:rsidR="006E1DA1">
        <w:rPr>
          <w:rFonts w:ascii="Times New Roman" w:hAnsi="Times New Roman" w:cs="Times New Roman"/>
          <w:sz w:val="26"/>
          <w:szCs w:val="26"/>
        </w:rPr>
        <w:t>97, n. 281.</w:t>
      </w:r>
    </w:p>
    <w:p w14:paraId="60D86D49"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2. I progetti di cui all’articolo 1 sono finanziati tenendo conto anche della rilevanza territoriale di ogni minoranza linguistica ammessa a tutela dalla legge e della necessità, ove possibile, di finanziare almeno un progetto a favore di ogni singola minoranza di og</w:t>
      </w:r>
      <w:r w:rsidR="006E1DA1">
        <w:rPr>
          <w:rFonts w:ascii="Times New Roman" w:hAnsi="Times New Roman" w:cs="Times New Roman"/>
          <w:sz w:val="26"/>
          <w:szCs w:val="26"/>
        </w:rPr>
        <w:t xml:space="preserve">ni regione. </w:t>
      </w:r>
    </w:p>
    <w:p w14:paraId="1603F11A" w14:textId="4EA590B6" w:rsidR="007E529F" w:rsidRPr="007E529F" w:rsidRDefault="007E529F" w:rsidP="3F4C26FB">
      <w:pPr>
        <w:jc w:val="both"/>
        <w:rPr>
          <w:rFonts w:ascii="Times New Roman" w:hAnsi="Times New Roman" w:cs="Times New Roman"/>
          <w:sz w:val="26"/>
          <w:szCs w:val="26"/>
        </w:rPr>
      </w:pPr>
      <w:r w:rsidRPr="3F4C26FB">
        <w:rPr>
          <w:rFonts w:ascii="Times New Roman" w:hAnsi="Times New Roman" w:cs="Times New Roman"/>
          <w:sz w:val="26"/>
          <w:szCs w:val="26"/>
        </w:rPr>
        <w:t>3. Nel caso in cui le somme annualmente stanziate in bilancio ai fini di cui al comma 1 risultino insufficienti alla copertura delle richieste pervenute e complessivamente ritenute ammissibili,</w:t>
      </w:r>
      <w:r w:rsidR="63F6BE8B" w:rsidRPr="3F4C26FB">
        <w:rPr>
          <w:rFonts w:ascii="Times New Roman" w:hAnsi="Times New Roman" w:cs="Times New Roman"/>
          <w:sz w:val="26"/>
          <w:szCs w:val="26"/>
        </w:rPr>
        <w:t xml:space="preserve"> i finanziamenti</w:t>
      </w:r>
      <w:r w:rsidRPr="3F4C26FB">
        <w:rPr>
          <w:rFonts w:ascii="Times New Roman" w:hAnsi="Times New Roman" w:cs="Times New Roman"/>
          <w:sz w:val="26"/>
          <w:szCs w:val="26"/>
        </w:rPr>
        <w:t xml:space="preserve"> </w:t>
      </w:r>
      <w:r w:rsidR="2E760602" w:rsidRPr="3F4C26FB">
        <w:rPr>
          <w:rFonts w:ascii="Times New Roman" w:hAnsi="Times New Roman" w:cs="Times New Roman"/>
          <w:sz w:val="26"/>
          <w:szCs w:val="26"/>
        </w:rPr>
        <w:t xml:space="preserve">possono essere ridotti proporzionalmente </w:t>
      </w:r>
      <w:r w:rsidRPr="3F4C26FB">
        <w:rPr>
          <w:rFonts w:ascii="Times New Roman" w:hAnsi="Times New Roman" w:cs="Times New Roman"/>
          <w:sz w:val="26"/>
          <w:szCs w:val="26"/>
        </w:rPr>
        <w:t>all’atto della ripartizione delle risorse tra gli enti interessati</w:t>
      </w:r>
      <w:r w:rsidR="3E540FD7" w:rsidRPr="3F4C26FB">
        <w:rPr>
          <w:rFonts w:ascii="Times New Roman" w:hAnsi="Times New Roman" w:cs="Times New Roman"/>
          <w:sz w:val="26"/>
          <w:szCs w:val="26"/>
        </w:rPr>
        <w:t xml:space="preserve">. </w:t>
      </w:r>
    </w:p>
    <w:p w14:paraId="1F8DE0D7" w14:textId="03E67D35" w:rsidR="007E529F" w:rsidRPr="007E529F" w:rsidRDefault="007E529F" w:rsidP="3F4C26FB">
      <w:pPr>
        <w:jc w:val="both"/>
        <w:rPr>
          <w:rFonts w:ascii="Times New Roman" w:hAnsi="Times New Roman" w:cs="Times New Roman"/>
          <w:sz w:val="26"/>
          <w:szCs w:val="26"/>
        </w:rPr>
      </w:pPr>
      <w:r w:rsidRPr="3F4C26FB">
        <w:rPr>
          <w:rFonts w:ascii="Times New Roman" w:hAnsi="Times New Roman" w:cs="Times New Roman"/>
          <w:sz w:val="26"/>
          <w:szCs w:val="26"/>
        </w:rPr>
        <w:t>4. Possono essere introdotti, nell’avviso pubblico annuale di cui all’articolo 4, comma 1, ulteriori criteri selettivi che tengano conto della qualità, della sostenibilità e della concretezza dei progetti.</w:t>
      </w:r>
    </w:p>
    <w:p w14:paraId="3DEEC669" w14:textId="77777777" w:rsidR="006C4897" w:rsidRDefault="006C4897" w:rsidP="007E529F">
      <w:pPr>
        <w:spacing w:after="0" w:line="240" w:lineRule="auto"/>
        <w:jc w:val="center"/>
        <w:rPr>
          <w:rFonts w:ascii="Times New Roman" w:hAnsi="Times New Roman" w:cs="Times New Roman"/>
          <w:sz w:val="26"/>
          <w:szCs w:val="26"/>
        </w:rPr>
      </w:pPr>
    </w:p>
    <w:p w14:paraId="3656B9AB" w14:textId="77777777" w:rsidR="006C4897" w:rsidRDefault="006C4897" w:rsidP="007E529F">
      <w:pPr>
        <w:spacing w:after="0" w:line="240" w:lineRule="auto"/>
        <w:jc w:val="center"/>
        <w:rPr>
          <w:rFonts w:ascii="Times New Roman" w:hAnsi="Times New Roman" w:cs="Times New Roman"/>
          <w:sz w:val="26"/>
          <w:szCs w:val="26"/>
        </w:rPr>
      </w:pPr>
    </w:p>
    <w:p w14:paraId="3D15805D"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Art. 6</w:t>
      </w:r>
    </w:p>
    <w:p w14:paraId="0EAEF7CD"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(Casi di esclusione dal finanziamento)</w:t>
      </w:r>
    </w:p>
    <w:p w14:paraId="45FB0818" w14:textId="77777777" w:rsidR="007E529F" w:rsidRPr="007E529F" w:rsidRDefault="007E529F" w:rsidP="007E529F">
      <w:pPr>
        <w:jc w:val="both"/>
        <w:rPr>
          <w:rFonts w:ascii="Times New Roman" w:hAnsi="Times New Roman" w:cs="Times New Roman"/>
          <w:sz w:val="26"/>
          <w:szCs w:val="26"/>
        </w:rPr>
      </w:pPr>
    </w:p>
    <w:p w14:paraId="34F762D8"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 xml:space="preserve">1. Fermo restando il possibile ricorso a forme di cofinanziamento, di cui dovrà essere data evidenza al momento della presentazione del progetto, non sono ammissibili a contributo gli interventi già finanziati con altre fonti di finanziamento, tenuto conto che il medesimo costo di un intervento non può essere rimborsato due volte mediante ricorso a risorse pubbliche anche di diversa natura. Ai fini del migliore coordinamento delle iniziative, i progetti di cui all’articolo 1 sono definiti tenendo conto anche dei programmi e dei piani delle regioni e degli </w:t>
      </w:r>
      <w:r w:rsidRPr="007E529F">
        <w:rPr>
          <w:rFonts w:ascii="Times New Roman" w:hAnsi="Times New Roman" w:cs="Times New Roman"/>
          <w:sz w:val="26"/>
          <w:szCs w:val="26"/>
        </w:rPr>
        <w:lastRenderedPageBreak/>
        <w:t>enti locali, che sono posti tempestivamente a conoscenza del Dipartimento per gli affari regionali e le autonomie.</w:t>
      </w:r>
    </w:p>
    <w:p w14:paraId="3282473D"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2. Sono esclusi dalle successive ripartizioni, fino a regolarizzazione della rispettiva situazione contabile, gli enti beneficiari che, in base agli esiti delle ultime due rendicontazioni concluse, sono risultati totalmente e ingiustificatamente inadempienti nella realizzazione del progetto finanziato ovvero abbiano omesso l’invio, entro sessanta giorni dal termine delle attività previste nel progetto, della rendicontazione di cui all’articolo 15, comma 3, della legge n. 482 del 1999, e successive modificazioni, e dell’articolo 8, comma 10, del decreto del Presidente della Repubblica n. 345 del 2001, e successive modific</w:t>
      </w:r>
      <w:r w:rsidR="006E1DA1">
        <w:rPr>
          <w:rFonts w:ascii="Times New Roman" w:hAnsi="Times New Roman" w:cs="Times New Roman"/>
          <w:sz w:val="26"/>
          <w:szCs w:val="26"/>
        </w:rPr>
        <w:t xml:space="preserve">azioni. </w:t>
      </w:r>
    </w:p>
    <w:p w14:paraId="049F31CB" w14:textId="77777777" w:rsidR="007E529F" w:rsidRDefault="007E529F" w:rsidP="007E529F">
      <w:pPr>
        <w:spacing w:after="0" w:line="240" w:lineRule="auto"/>
        <w:jc w:val="center"/>
        <w:rPr>
          <w:rFonts w:ascii="Times New Roman" w:hAnsi="Times New Roman" w:cs="Times New Roman"/>
          <w:sz w:val="26"/>
          <w:szCs w:val="26"/>
        </w:rPr>
      </w:pPr>
    </w:p>
    <w:p w14:paraId="53128261" w14:textId="77777777" w:rsidR="006C4897" w:rsidRDefault="006C4897" w:rsidP="007E529F">
      <w:pPr>
        <w:spacing w:after="0" w:line="240" w:lineRule="auto"/>
        <w:jc w:val="center"/>
        <w:rPr>
          <w:rFonts w:ascii="Times New Roman" w:hAnsi="Times New Roman" w:cs="Times New Roman"/>
          <w:sz w:val="26"/>
          <w:szCs w:val="26"/>
        </w:rPr>
      </w:pPr>
    </w:p>
    <w:p w14:paraId="17D180E3"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Art. 7</w:t>
      </w:r>
    </w:p>
    <w:p w14:paraId="5C9FB1D9" w14:textId="77777777" w:rsidR="007E529F" w:rsidRPr="007E529F" w:rsidRDefault="007E529F" w:rsidP="007E529F">
      <w:pPr>
        <w:spacing w:after="0" w:line="240" w:lineRule="auto"/>
        <w:jc w:val="center"/>
        <w:rPr>
          <w:rFonts w:ascii="Times New Roman" w:hAnsi="Times New Roman" w:cs="Times New Roman"/>
          <w:sz w:val="26"/>
          <w:szCs w:val="26"/>
        </w:rPr>
      </w:pPr>
      <w:r w:rsidRPr="007E529F">
        <w:rPr>
          <w:rFonts w:ascii="Times New Roman" w:hAnsi="Times New Roman" w:cs="Times New Roman"/>
          <w:sz w:val="26"/>
          <w:szCs w:val="26"/>
        </w:rPr>
        <w:t>(Delimitazioni territoriali)</w:t>
      </w:r>
    </w:p>
    <w:p w14:paraId="62486C05" w14:textId="77777777" w:rsidR="007E529F" w:rsidRPr="007E529F" w:rsidRDefault="007E529F" w:rsidP="007E529F">
      <w:pPr>
        <w:jc w:val="both"/>
        <w:rPr>
          <w:rFonts w:ascii="Times New Roman" w:hAnsi="Times New Roman" w:cs="Times New Roman"/>
          <w:sz w:val="26"/>
          <w:szCs w:val="26"/>
        </w:rPr>
      </w:pPr>
    </w:p>
    <w:p w14:paraId="5D056E83"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1. Al fine di dare completa ed effettiva attuazione all’articolo 3, comma 1, della legge n. 482 del 1999 e all’articolo 1, comma 3, del decreto del Presidente della Repubblica n. 345 del 2001, i consigli provinciali o gli organi ad essi subentrati nelle funzioni o comunque competenti ai sensi della legge 7 aprile 2014, n. 56, tenuti a pronunciarsi sulle richieste di delimitazione dell’ambito territoriale, inoltrate dai soggetti legittimati, tengono conto, nella valutazione della richiesta, dandone adeguata motivazione, della sussistenza di elementi oggettivi idonei a soddisfare i seguenti criteri:</w:t>
      </w:r>
    </w:p>
    <w:p w14:paraId="5821DAFE"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a) storicità della lingua, appurandone l’appartenenza della lingua parlata al novero di quelle ammesse alla tutela della legge n. 482 del 1999;</w:t>
      </w:r>
    </w:p>
    <w:p w14:paraId="60F95D76"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b) uso della lingua ammessa a tutela quale modo di esprimersi dei componenti della minoranza linguistica;</w:t>
      </w:r>
    </w:p>
    <w:p w14:paraId="4F571ED7"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c) effettivo radicamento storico, inteso come continuità nei secoli dello stanziamento sul territorio della minoranza linguistica tutelata.</w:t>
      </w:r>
    </w:p>
    <w:p w14:paraId="6D62E405"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2. Ai fini di cui al comma 1, si può fare riferimento a documenti storici conservati negli archivi pubblici o privati, a elementi della toponomastica o alla presenza continua, nell’anagrafe e nei registri dello stato civile e agli eventuali registri parrocchiali, di nomi e cognomi propri della minoranza linguistica che, nel complesso, attestino la presenza storica e continua della minoranza nel territorio.</w:t>
      </w:r>
    </w:p>
    <w:p w14:paraId="0BAA0BCB"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lastRenderedPageBreak/>
        <w:t>3. Le delibere di delimitazione, oltre a quanto disposto dall’articolo 1, comma 6, del decreto del Presidente della Repubblica n. 345 del 2001, sono trasmesse alla competente sezione regionale di controllo della Corte dei conti.</w:t>
      </w:r>
    </w:p>
    <w:p w14:paraId="4CA50AD6"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4. Il Dipartimento per gli affari regionali e le autonomie provvede a una periodica ricognizione dei comuni delimitati, ai sensi dell’articolo 3 della legge n. 482 del 1999, presenti sul territorio nazionale. A tale proposito, possono avere effetti sulle delimitazioni anche le variazioni territoriali degli enti, quali, ad esempio, la costituzione di nuovi comuni, le unioni e le fusioni dei comuni.</w:t>
      </w:r>
    </w:p>
    <w:p w14:paraId="445BD6C9" w14:textId="77777777" w:rsidR="007E529F" w:rsidRPr="007E529F" w:rsidRDefault="007E529F" w:rsidP="007E529F">
      <w:pPr>
        <w:jc w:val="both"/>
        <w:rPr>
          <w:rFonts w:ascii="Times New Roman" w:hAnsi="Times New Roman" w:cs="Times New Roman"/>
          <w:sz w:val="26"/>
          <w:szCs w:val="26"/>
        </w:rPr>
      </w:pPr>
      <w:r w:rsidRPr="007E529F">
        <w:rPr>
          <w:rFonts w:ascii="Times New Roman" w:hAnsi="Times New Roman" w:cs="Times New Roman"/>
          <w:sz w:val="26"/>
          <w:szCs w:val="26"/>
        </w:rPr>
        <w:t>Il presente decreto sarà trasmesso alla Corte dei conti per la registrazione e pubblicato nella Gazzetta Ufficiale della Repubblica italiana.</w:t>
      </w:r>
    </w:p>
    <w:p w14:paraId="4101652C" w14:textId="77777777" w:rsidR="007E529F" w:rsidRPr="007E529F" w:rsidRDefault="007E529F" w:rsidP="007E529F">
      <w:pPr>
        <w:rPr>
          <w:rFonts w:ascii="Times New Roman" w:hAnsi="Times New Roman" w:cs="Times New Roman"/>
          <w:sz w:val="26"/>
          <w:szCs w:val="26"/>
        </w:rPr>
      </w:pPr>
    </w:p>
    <w:p w14:paraId="4B99056E" w14:textId="77777777" w:rsidR="007E529F" w:rsidRPr="007E529F" w:rsidRDefault="007E529F" w:rsidP="007E529F">
      <w:pPr>
        <w:rPr>
          <w:rFonts w:ascii="Times New Roman" w:hAnsi="Times New Roman" w:cs="Times New Roman"/>
          <w:sz w:val="26"/>
          <w:szCs w:val="26"/>
        </w:rPr>
      </w:pPr>
    </w:p>
    <w:p w14:paraId="1FB66812" w14:textId="77777777" w:rsidR="007E529F" w:rsidRPr="007E529F" w:rsidRDefault="007E529F" w:rsidP="007E529F">
      <w:pPr>
        <w:rPr>
          <w:rFonts w:ascii="Times New Roman" w:hAnsi="Times New Roman" w:cs="Times New Roman"/>
          <w:sz w:val="26"/>
          <w:szCs w:val="26"/>
        </w:rPr>
      </w:pPr>
      <w:r w:rsidRPr="007E529F">
        <w:rPr>
          <w:rFonts w:ascii="Times New Roman" w:hAnsi="Times New Roman" w:cs="Times New Roman"/>
          <w:sz w:val="26"/>
          <w:szCs w:val="26"/>
        </w:rPr>
        <w:t xml:space="preserve">Roma, </w:t>
      </w:r>
    </w:p>
    <w:p w14:paraId="1299C43A" w14:textId="77777777" w:rsidR="007E529F" w:rsidRPr="007E529F" w:rsidRDefault="007E529F" w:rsidP="007E529F">
      <w:pPr>
        <w:rPr>
          <w:rFonts w:ascii="Times New Roman" w:hAnsi="Times New Roman" w:cs="Times New Roman"/>
          <w:sz w:val="26"/>
          <w:szCs w:val="26"/>
        </w:rPr>
      </w:pPr>
    </w:p>
    <w:p w14:paraId="360EAFE6" w14:textId="77777777" w:rsidR="007E529F" w:rsidRPr="007E529F" w:rsidRDefault="007E529F" w:rsidP="006C4897">
      <w:pPr>
        <w:ind w:left="4820"/>
        <w:rPr>
          <w:rFonts w:ascii="Times New Roman" w:hAnsi="Times New Roman" w:cs="Times New Roman"/>
          <w:sz w:val="26"/>
          <w:szCs w:val="26"/>
        </w:rPr>
      </w:pPr>
      <w:r w:rsidRPr="007E529F">
        <w:rPr>
          <w:rFonts w:ascii="Times New Roman" w:hAnsi="Times New Roman" w:cs="Times New Roman"/>
          <w:sz w:val="26"/>
          <w:szCs w:val="26"/>
        </w:rPr>
        <w:t xml:space="preserve">     per il Presidente del Consiglio dei ministri</w:t>
      </w:r>
    </w:p>
    <w:p w14:paraId="4E3D3927" w14:textId="77777777" w:rsidR="007E529F" w:rsidRPr="007E529F" w:rsidRDefault="007E529F" w:rsidP="006C4897">
      <w:pPr>
        <w:ind w:left="4820"/>
        <w:jc w:val="center"/>
        <w:rPr>
          <w:rFonts w:ascii="Times New Roman" w:hAnsi="Times New Roman" w:cs="Times New Roman"/>
          <w:sz w:val="26"/>
          <w:szCs w:val="26"/>
        </w:rPr>
      </w:pPr>
      <w:r w:rsidRPr="007E529F">
        <w:rPr>
          <w:rFonts w:ascii="Times New Roman" w:hAnsi="Times New Roman" w:cs="Times New Roman"/>
          <w:sz w:val="26"/>
          <w:szCs w:val="26"/>
        </w:rPr>
        <w:t>Il Ministro per gli affari regionali e le autonomie</w:t>
      </w:r>
    </w:p>
    <w:p w14:paraId="39B74A14" w14:textId="4A1C3E69" w:rsidR="00F1547B" w:rsidRPr="007E529F" w:rsidRDefault="00BF1E79" w:rsidP="006C4897">
      <w:pPr>
        <w:ind w:left="4820"/>
        <w:rPr>
          <w:rFonts w:ascii="Times New Roman" w:hAnsi="Times New Roman" w:cs="Times New Roman"/>
          <w:sz w:val="26"/>
          <w:szCs w:val="26"/>
        </w:rPr>
      </w:pPr>
      <w:r>
        <w:rPr>
          <w:rFonts w:ascii="Times New Roman" w:hAnsi="Times New Roman" w:cs="Times New Roman"/>
          <w:sz w:val="26"/>
          <w:szCs w:val="26"/>
        </w:rPr>
        <w:t xml:space="preserve">                       </w:t>
      </w:r>
      <w:r w:rsidR="007E529F" w:rsidRPr="658C93B1">
        <w:rPr>
          <w:rFonts w:ascii="Times New Roman" w:hAnsi="Times New Roman" w:cs="Times New Roman"/>
          <w:sz w:val="26"/>
          <w:szCs w:val="26"/>
        </w:rPr>
        <w:t>Roberto Calderoli</w:t>
      </w:r>
    </w:p>
    <w:sectPr w:rsidR="00F1547B" w:rsidRPr="007E529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C53E41" w:rsidRDefault="00C53E41" w:rsidP="007E529F">
      <w:pPr>
        <w:spacing w:after="0" w:line="240" w:lineRule="auto"/>
      </w:pPr>
      <w:r>
        <w:separator/>
      </w:r>
    </w:p>
  </w:endnote>
  <w:endnote w:type="continuationSeparator" w:id="0">
    <w:p w14:paraId="62EBF3C5" w14:textId="77777777" w:rsidR="00C53E41" w:rsidRDefault="00C53E41" w:rsidP="007E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12B" w14:textId="77777777" w:rsidR="00C53E41" w:rsidRDefault="00C53E41" w:rsidP="007E529F">
      <w:pPr>
        <w:spacing w:after="0" w:line="240" w:lineRule="auto"/>
      </w:pPr>
      <w:r>
        <w:separator/>
      </w:r>
    </w:p>
  </w:footnote>
  <w:footnote w:type="continuationSeparator" w:id="0">
    <w:p w14:paraId="2946DB82" w14:textId="77777777" w:rsidR="00C53E41" w:rsidRDefault="00C53E41" w:rsidP="007E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6C4897" w:rsidRDefault="006C4897">
    <w:pPr>
      <w:pStyle w:val="Intestazione"/>
    </w:pPr>
  </w:p>
  <w:p w14:paraId="3461D779" w14:textId="77777777" w:rsidR="006C4897" w:rsidRDefault="006C4897">
    <w:pPr>
      <w:pStyle w:val="Intestazione"/>
    </w:pPr>
  </w:p>
  <w:p w14:paraId="059A10B0" w14:textId="77777777" w:rsidR="007E529F" w:rsidRDefault="007E529F">
    <w:pPr>
      <w:pStyle w:val="Intestazione"/>
    </w:pPr>
    <w:r w:rsidRPr="00693792">
      <w:rPr>
        <w:noProof/>
        <w:sz w:val="32"/>
        <w:lang w:eastAsia="it-IT"/>
      </w:rPr>
      <w:drawing>
        <wp:anchor distT="0" distB="0" distL="114300" distR="114300" simplePos="0" relativeHeight="251658240" behindDoc="1" locked="0" layoutInCell="1" allowOverlap="1" wp14:anchorId="5B6FA660" wp14:editId="07777777">
          <wp:simplePos x="0" y="0"/>
          <wp:positionH relativeFrom="column">
            <wp:posOffset>2489835</wp:posOffset>
          </wp:positionH>
          <wp:positionV relativeFrom="paragraph">
            <wp:posOffset>-337185</wp:posOffset>
          </wp:positionV>
          <wp:extent cx="715645" cy="771525"/>
          <wp:effectExtent l="0" t="0" r="8255" b="9525"/>
          <wp:wrapTight wrapText="bothSides">
            <wp:wrapPolygon edited="0">
              <wp:start x="0" y="0"/>
              <wp:lineTo x="0" y="21333"/>
              <wp:lineTo x="21274" y="21333"/>
              <wp:lineTo x="21274" y="0"/>
              <wp:lineTo x="0" y="0"/>
            </wp:wrapPolygon>
          </wp:wrapTight>
          <wp:docPr id="4" name="Immagine 4" descr="LOGO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anchor>
      </w:drawing>
    </w:r>
  </w:p>
  <w:p w14:paraId="3CF2D8B6" w14:textId="77777777" w:rsidR="007E529F" w:rsidRDefault="007E529F">
    <w:pPr>
      <w:pStyle w:val="Intestazione"/>
    </w:pPr>
  </w:p>
  <w:p w14:paraId="0FB78278" w14:textId="77777777" w:rsidR="007E529F" w:rsidRDefault="007E529F">
    <w:pPr>
      <w:pStyle w:val="Intestazione"/>
    </w:pPr>
  </w:p>
  <w:p w14:paraId="1D7D6ABF" w14:textId="77777777" w:rsidR="007E529F" w:rsidRPr="00C62438" w:rsidRDefault="007E529F" w:rsidP="007E529F">
    <w:pPr>
      <w:pStyle w:val="Intestazione"/>
      <w:rPr>
        <w:rFonts w:ascii="Palace Script MT" w:hAnsi="Palace Script MT"/>
        <w:sz w:val="104"/>
        <w:szCs w:val="104"/>
      </w:rPr>
    </w:pPr>
    <w:r w:rsidRPr="00C62438">
      <w:rPr>
        <w:rFonts w:ascii="Palace Script MT" w:hAnsi="Palace Script MT"/>
        <w:sz w:val="104"/>
        <w:szCs w:val="104"/>
      </w:rPr>
      <w:t>Il Presidente del Consiglio dei ministri</w:t>
    </w:r>
  </w:p>
  <w:p w14:paraId="1FC39945" w14:textId="77777777" w:rsidR="007E529F" w:rsidRDefault="007E529F">
    <w:pPr>
      <w:pStyle w:val="Intestazione"/>
    </w:pPr>
  </w:p>
  <w:p w14:paraId="0562CB0E" w14:textId="77777777" w:rsidR="007E529F" w:rsidRDefault="007E52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9F"/>
    <w:rsid w:val="000A7FED"/>
    <w:rsid w:val="002847BF"/>
    <w:rsid w:val="00336176"/>
    <w:rsid w:val="00514BFA"/>
    <w:rsid w:val="006C4897"/>
    <w:rsid w:val="006E1DA1"/>
    <w:rsid w:val="007E529F"/>
    <w:rsid w:val="00AC3DCC"/>
    <w:rsid w:val="00B62945"/>
    <w:rsid w:val="00BF1E79"/>
    <w:rsid w:val="00C53E41"/>
    <w:rsid w:val="00F1547B"/>
    <w:rsid w:val="021A8A9E"/>
    <w:rsid w:val="048742A2"/>
    <w:rsid w:val="0BFA202F"/>
    <w:rsid w:val="0CF2938A"/>
    <w:rsid w:val="1196B4A3"/>
    <w:rsid w:val="12662F22"/>
    <w:rsid w:val="1D0406EC"/>
    <w:rsid w:val="22877303"/>
    <w:rsid w:val="2E760602"/>
    <w:rsid w:val="3E540FD7"/>
    <w:rsid w:val="3F4C26FB"/>
    <w:rsid w:val="4E5BE772"/>
    <w:rsid w:val="52FC6B89"/>
    <w:rsid w:val="576A7A59"/>
    <w:rsid w:val="600A4496"/>
    <w:rsid w:val="6071C128"/>
    <w:rsid w:val="620D9189"/>
    <w:rsid w:val="63F6BE8B"/>
    <w:rsid w:val="658C93B1"/>
    <w:rsid w:val="6A61B45E"/>
    <w:rsid w:val="734EFD9C"/>
    <w:rsid w:val="77897318"/>
    <w:rsid w:val="77D1C10C"/>
    <w:rsid w:val="786EA92E"/>
    <w:rsid w:val="7A513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834F"/>
  <w15:chartTrackingRefBased/>
  <w15:docId w15:val="{0D03F7C0-7C2F-427F-A732-99E1F107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52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529F"/>
  </w:style>
  <w:style w:type="paragraph" w:styleId="Pidipagina">
    <w:name w:val="footer"/>
    <w:basedOn w:val="Normale"/>
    <w:link w:val="PidipaginaCarattere"/>
    <w:uiPriority w:val="99"/>
    <w:unhideWhenUsed/>
    <w:rsid w:val="007E52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0" ma:contentTypeDescription="Creare un nuovo documento." ma:contentTypeScope="" ma:versionID="397436178a807005e507f529548d4e3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8f7003e6baa4e256592e7f4f9395cc53"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71c3f3f4-8545-4ecb-a037-b48345d24d3b}"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B1B20-A924-4E64-BA9D-F0EABAE35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39C00-E1D6-485C-9C4B-31151FAAB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2588</Words>
  <Characters>14757</Characters>
  <Application>Microsoft Office Word</Application>
  <DocSecurity>0</DocSecurity>
  <Lines>122</Lines>
  <Paragraphs>34</Paragraphs>
  <ScaleCrop>false</ScaleCrop>
  <Company>Presidenza del Consiglio dei Ministri</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Rosa Corrado</dc:creator>
  <cp:keywords/>
  <dc:description/>
  <cp:lastModifiedBy>Carnevali Stefania</cp:lastModifiedBy>
  <cp:revision>7</cp:revision>
  <dcterms:created xsi:type="dcterms:W3CDTF">2023-03-02T07:14:00Z</dcterms:created>
  <dcterms:modified xsi:type="dcterms:W3CDTF">2023-03-22T15:58:00Z</dcterms:modified>
</cp:coreProperties>
</file>